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D5" w:rsidRDefault="00DD70DD" w:rsidP="00DD7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DD">
        <w:rPr>
          <w:rFonts w:ascii="Times New Roman" w:hAnsi="Times New Roman" w:cs="Times New Roman"/>
          <w:b/>
          <w:sz w:val="24"/>
          <w:szCs w:val="24"/>
        </w:rPr>
        <w:t xml:space="preserve">Б. 8.2. Попытки экономических реформ во второй половине </w:t>
      </w:r>
      <w:r w:rsidRPr="00DD70D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DD70DD">
        <w:rPr>
          <w:rFonts w:ascii="Times New Roman" w:hAnsi="Times New Roman" w:cs="Times New Roman"/>
          <w:b/>
          <w:sz w:val="24"/>
          <w:szCs w:val="24"/>
        </w:rPr>
        <w:t xml:space="preserve"> в. Магнатское предпринимательство</w:t>
      </w:r>
    </w:p>
    <w:p w:rsidR="00DD70DD" w:rsidRDefault="00DD70DD" w:rsidP="00DD7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многочисленных войн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DD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первой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были сделаны попытки экономических реформ.</w:t>
      </w:r>
    </w:p>
    <w:p w:rsidR="00DD70DD" w:rsidRPr="00BE3744" w:rsidRDefault="00DD70DD" w:rsidP="00DD70DD">
      <w:pPr>
        <w:spacing w:after="0" w:line="240" w:lineRule="auto"/>
        <w:jc w:val="both"/>
        <w:rPr>
          <w:rFonts w:ascii="Verdana" w:hAnsi="Verdana" w:cs="Times New Roman"/>
          <w:b/>
          <w:i/>
          <w:sz w:val="19"/>
          <w:szCs w:val="18"/>
        </w:rPr>
      </w:pPr>
      <w:r w:rsidRPr="00BE3744">
        <w:rPr>
          <w:rFonts w:ascii="Verdana" w:hAnsi="Verdana" w:cs="Times New Roman"/>
          <w:b/>
          <w:i/>
          <w:sz w:val="19"/>
          <w:szCs w:val="18"/>
        </w:rPr>
        <w:t>Начало экономических реформ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  <w:t>Годы</w:t>
            </w:r>
          </w:p>
        </w:tc>
        <w:tc>
          <w:tcPr>
            <w:tcW w:w="8589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  <w:t>Мероприятия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  <w:lang w:val="be-BY"/>
              </w:rPr>
              <w:t>1764г.</w:t>
            </w:r>
          </w:p>
        </w:tc>
        <w:tc>
          <w:tcPr>
            <w:tcW w:w="8589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создание Скарбовой комиссии ВКЛ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1764г.</w:t>
            </w:r>
          </w:p>
        </w:tc>
        <w:tc>
          <w:tcPr>
            <w:tcW w:w="8589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введение единой таможенной пошлины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1766 г.</w:t>
            </w:r>
          </w:p>
        </w:tc>
        <w:tc>
          <w:tcPr>
            <w:tcW w:w="8589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введены единые меры измерения длины, веса, объёма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  <w:lang w:val="be-BY"/>
              </w:rPr>
              <w:t xml:space="preserve">Вторая половина </w:t>
            </w:r>
            <w:r w:rsidRPr="00BE3744">
              <w:rPr>
                <w:rFonts w:ascii="Verdana" w:hAnsi="Verdana" w:cs="Times New Roman"/>
                <w:sz w:val="19"/>
                <w:szCs w:val="18"/>
                <w:lang w:val="en-US"/>
              </w:rPr>
              <w:t>XVIII</w:t>
            </w: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 в.</w:t>
            </w:r>
          </w:p>
        </w:tc>
        <w:tc>
          <w:tcPr>
            <w:tcW w:w="8589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строительство новых сухопутных трактов (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пинско-слонимский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 и 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пинско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>-волынский)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1775-1784 гг.</w:t>
            </w:r>
          </w:p>
        </w:tc>
        <w:tc>
          <w:tcPr>
            <w:tcW w:w="8589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b/>
                <w:i/>
                <w:sz w:val="19"/>
                <w:szCs w:val="18"/>
                <w:lang w:val="be-BY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строительство Королевского (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Днепро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>-Бугского) канала</w:t>
            </w:r>
          </w:p>
        </w:tc>
      </w:tr>
    </w:tbl>
    <w:p w:rsidR="00DD70DD" w:rsidRDefault="00DD70DD" w:rsidP="00DD70DD">
      <w:pPr>
        <w:spacing w:after="0" w:line="240" w:lineRule="auto"/>
        <w:jc w:val="both"/>
        <w:rPr>
          <w:rFonts w:ascii="Verdana" w:hAnsi="Verdana" w:cs="Times New Roman"/>
          <w:sz w:val="19"/>
          <w:szCs w:val="18"/>
        </w:rPr>
      </w:pPr>
    </w:p>
    <w:p w:rsidR="00DD70DD" w:rsidRPr="00DD70DD" w:rsidRDefault="00DD70DD" w:rsidP="00DD70DD">
      <w:pPr>
        <w:spacing w:after="0" w:line="240" w:lineRule="auto"/>
        <w:jc w:val="both"/>
        <w:rPr>
          <w:rFonts w:ascii="Verdana" w:hAnsi="Verdana" w:cs="Times New Roman"/>
          <w:sz w:val="19"/>
          <w:szCs w:val="18"/>
        </w:rPr>
      </w:pPr>
      <w:r w:rsidRPr="00DD70DD">
        <w:rPr>
          <w:rFonts w:ascii="Verdana" w:hAnsi="Verdana" w:cs="Times New Roman"/>
          <w:sz w:val="19"/>
          <w:szCs w:val="18"/>
        </w:rPr>
        <w:t xml:space="preserve">Основной формой </w:t>
      </w:r>
      <w:r w:rsidRPr="00DD70DD">
        <w:rPr>
          <w:rFonts w:ascii="Verdana" w:hAnsi="Verdana" w:cs="Times New Roman"/>
          <w:sz w:val="19"/>
          <w:szCs w:val="18"/>
          <w:lang w:val="en-US"/>
        </w:rPr>
        <w:t>c</w:t>
      </w:r>
      <w:r w:rsidRPr="00DD70DD">
        <w:rPr>
          <w:rFonts w:ascii="Verdana" w:hAnsi="Verdana" w:cs="Times New Roman"/>
          <w:sz w:val="19"/>
          <w:szCs w:val="18"/>
        </w:rPr>
        <w:t>/</w:t>
      </w:r>
      <w:r>
        <w:rPr>
          <w:rFonts w:ascii="Verdana" w:hAnsi="Verdana" w:cs="Times New Roman"/>
          <w:sz w:val="19"/>
          <w:szCs w:val="18"/>
        </w:rPr>
        <w:t>х производства оставался фольварк. Наблюдался перевод крестьян на чинш.</w:t>
      </w:r>
    </w:p>
    <w:p w:rsidR="00DD70DD" w:rsidRPr="00DD70DD" w:rsidRDefault="00DD70DD" w:rsidP="00DD70DD">
      <w:pPr>
        <w:spacing w:after="0" w:line="240" w:lineRule="auto"/>
        <w:jc w:val="both"/>
        <w:rPr>
          <w:rFonts w:ascii="Verdana" w:hAnsi="Verdana" w:cs="Times New Roman"/>
          <w:sz w:val="19"/>
          <w:szCs w:val="18"/>
        </w:rPr>
      </w:pPr>
    </w:p>
    <w:p w:rsidR="00DD70DD" w:rsidRPr="00BE3744" w:rsidRDefault="00DD70DD" w:rsidP="00DD70DD">
      <w:pPr>
        <w:spacing w:after="0" w:line="240" w:lineRule="auto"/>
        <w:jc w:val="both"/>
        <w:rPr>
          <w:rFonts w:ascii="Verdana" w:hAnsi="Verdana" w:cs="Times New Roman"/>
          <w:b/>
          <w:i/>
          <w:sz w:val="19"/>
          <w:szCs w:val="18"/>
        </w:rPr>
      </w:pPr>
      <w:r w:rsidRPr="00BE3744">
        <w:rPr>
          <w:rFonts w:ascii="Verdana" w:hAnsi="Verdana" w:cs="Times New Roman"/>
          <w:b/>
          <w:i/>
          <w:sz w:val="19"/>
          <w:szCs w:val="18"/>
        </w:rPr>
        <w:t xml:space="preserve">Аграрная реформа </w:t>
      </w:r>
      <w:proofErr w:type="spellStart"/>
      <w:r w:rsidRPr="00BE3744">
        <w:rPr>
          <w:rFonts w:ascii="Verdana" w:hAnsi="Verdana" w:cs="Times New Roman"/>
          <w:b/>
          <w:i/>
          <w:sz w:val="19"/>
          <w:szCs w:val="18"/>
        </w:rPr>
        <w:t>Тизенгауза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86"/>
        <w:gridCol w:w="1716"/>
        <w:gridCol w:w="1701"/>
        <w:gridCol w:w="2835"/>
        <w:gridCol w:w="3344"/>
      </w:tblGrid>
      <w:tr w:rsidR="00DD70DD" w:rsidRPr="00BE3744" w:rsidTr="00E60543">
        <w:tc>
          <w:tcPr>
            <w:tcW w:w="1086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Дата</w:t>
            </w:r>
          </w:p>
        </w:tc>
        <w:tc>
          <w:tcPr>
            <w:tcW w:w="1716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Место проведения</w:t>
            </w:r>
          </w:p>
        </w:tc>
        <w:tc>
          <w:tcPr>
            <w:tcW w:w="1701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Цели</w:t>
            </w:r>
          </w:p>
        </w:tc>
        <w:tc>
          <w:tcPr>
            <w:tcW w:w="2835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Ход</w:t>
            </w:r>
          </w:p>
        </w:tc>
        <w:tc>
          <w:tcPr>
            <w:tcW w:w="3344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Итоги</w:t>
            </w:r>
          </w:p>
        </w:tc>
      </w:tr>
      <w:tr w:rsidR="00DD70DD" w:rsidRPr="00BE3744" w:rsidTr="00E60543">
        <w:tc>
          <w:tcPr>
            <w:tcW w:w="1086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1765г.</w:t>
            </w:r>
          </w:p>
        </w:tc>
        <w:tc>
          <w:tcPr>
            <w:tcW w:w="1716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Гродненская, Брестская, Кобринская, Могилёвская экономии</w:t>
            </w:r>
          </w:p>
        </w:tc>
        <w:tc>
          <w:tcPr>
            <w:tcW w:w="1701" w:type="dxa"/>
          </w:tcPr>
          <w:p w:rsidR="00DD70DD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Увеличение 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государствен</w:t>
            </w:r>
            <w:proofErr w:type="spellEnd"/>
          </w:p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ной прибыли</w:t>
            </w:r>
            <w:r w:rsidRPr="00BE3744">
              <w:rPr>
                <w:rFonts w:ascii="Verdana" w:hAnsi="Verdana" w:cs="Times New Roman"/>
                <w:sz w:val="19"/>
                <w:szCs w:val="18"/>
                <w:lang w:val="be-BY"/>
              </w:rPr>
              <w:t xml:space="preserve"> для её вложения </w:t>
            </w:r>
            <w:r w:rsidRPr="00BE3744">
              <w:rPr>
                <w:rFonts w:ascii="Verdana" w:hAnsi="Verdana" w:cs="Times New Roman"/>
                <w:sz w:val="19"/>
                <w:szCs w:val="18"/>
              </w:rPr>
              <w:t>в организацию мануфактур</w:t>
            </w:r>
          </w:p>
        </w:tc>
        <w:tc>
          <w:tcPr>
            <w:tcW w:w="2835" w:type="dxa"/>
          </w:tcPr>
          <w:p w:rsidR="00DD70DD" w:rsidRPr="00BE3744" w:rsidRDefault="00DD70DD" w:rsidP="00DD70D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Ревизия государственных земель. </w:t>
            </w:r>
          </w:p>
          <w:p w:rsidR="00DD70DD" w:rsidRPr="00BE3744" w:rsidRDefault="00DD70DD" w:rsidP="00DD70D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Организация фольварков;</w:t>
            </w:r>
          </w:p>
          <w:p w:rsidR="00DD70DD" w:rsidRPr="00BE3744" w:rsidRDefault="00DD70DD" w:rsidP="00DD70D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Создание «коммунальных магазинов»;</w:t>
            </w:r>
          </w:p>
          <w:p w:rsidR="00DD70DD" w:rsidRPr="00BE3744" w:rsidRDefault="00DD70DD" w:rsidP="00DD70D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Организация «коммунальных касс» </w:t>
            </w:r>
          </w:p>
          <w:p w:rsidR="00DD70DD" w:rsidRPr="00BE3744" w:rsidRDefault="00DD70DD" w:rsidP="00DD70D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Введение правил внутреннего распорядка. </w:t>
            </w:r>
          </w:p>
        </w:tc>
        <w:tc>
          <w:tcPr>
            <w:tcW w:w="3344" w:type="dxa"/>
          </w:tcPr>
          <w:p w:rsidR="00DD70DD" w:rsidRPr="00BE3744" w:rsidRDefault="00DD70DD" w:rsidP="00DD70DD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Увеличилось количество крестьян, отрабатывающих барщину;</w:t>
            </w:r>
          </w:p>
          <w:p w:rsidR="00DD70DD" w:rsidRPr="00BE3744" w:rsidRDefault="00DD70DD" w:rsidP="00DD70DD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Крестьянин имел право передавать свой надел  в наследство;</w:t>
            </w:r>
          </w:p>
          <w:p w:rsidR="00DD70DD" w:rsidRPr="00BE3744" w:rsidRDefault="00DD70DD" w:rsidP="00DD70DD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Прекратились злоупотребления арендаторов.</w:t>
            </w:r>
          </w:p>
          <w:p w:rsidR="00DD70DD" w:rsidRPr="00BE3744" w:rsidRDefault="00DD70DD" w:rsidP="00DD70DD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Большинство крестьян не принимали реформу, т.к. увеличились их повинности перед государством.</w:t>
            </w:r>
          </w:p>
        </w:tc>
      </w:tr>
    </w:tbl>
    <w:p w:rsidR="00DD70DD" w:rsidRDefault="00DD70DD" w:rsidP="00DD70DD">
      <w:pPr>
        <w:spacing w:after="0" w:line="240" w:lineRule="auto"/>
        <w:jc w:val="both"/>
        <w:rPr>
          <w:rFonts w:ascii="Verdana" w:hAnsi="Verdana" w:cs="Times New Roman"/>
          <w:b/>
          <w:i/>
          <w:sz w:val="19"/>
          <w:szCs w:val="18"/>
        </w:rPr>
      </w:pPr>
    </w:p>
    <w:p w:rsidR="003415C5" w:rsidRPr="003415C5" w:rsidRDefault="003415C5" w:rsidP="00DD70DD">
      <w:pPr>
        <w:spacing w:after="0" w:line="240" w:lineRule="auto"/>
        <w:jc w:val="both"/>
        <w:rPr>
          <w:rFonts w:ascii="Verdana" w:hAnsi="Verdana" w:cs="Times New Roman"/>
          <w:sz w:val="19"/>
          <w:szCs w:val="18"/>
        </w:rPr>
      </w:pPr>
      <w:r w:rsidRPr="003415C5">
        <w:rPr>
          <w:rFonts w:ascii="Verdana" w:hAnsi="Verdana" w:cs="Times New Roman"/>
          <w:b/>
          <w:sz w:val="19"/>
          <w:szCs w:val="18"/>
        </w:rPr>
        <w:t>Экономия</w:t>
      </w:r>
      <w:r>
        <w:rPr>
          <w:rFonts w:ascii="Verdana" w:hAnsi="Verdana" w:cs="Times New Roman"/>
          <w:b/>
          <w:i/>
          <w:sz w:val="19"/>
          <w:szCs w:val="18"/>
        </w:rPr>
        <w:t xml:space="preserve"> </w:t>
      </w:r>
      <w:r w:rsidRPr="003415C5">
        <w:rPr>
          <w:rFonts w:ascii="Verdana" w:hAnsi="Verdana" w:cs="Times New Roman"/>
          <w:sz w:val="19"/>
          <w:szCs w:val="18"/>
        </w:rPr>
        <w:t>– поместье или государственное владение, прибыль от кото</w:t>
      </w:r>
      <w:r>
        <w:rPr>
          <w:rFonts w:ascii="Verdana" w:hAnsi="Verdana" w:cs="Times New Roman"/>
          <w:sz w:val="19"/>
          <w:szCs w:val="18"/>
        </w:rPr>
        <w:t>р</w:t>
      </w:r>
      <w:r w:rsidRPr="003415C5">
        <w:rPr>
          <w:rFonts w:ascii="Verdana" w:hAnsi="Verdana" w:cs="Times New Roman"/>
          <w:sz w:val="19"/>
          <w:szCs w:val="18"/>
        </w:rPr>
        <w:t>ой шла на нужды короля РП.</w:t>
      </w:r>
    </w:p>
    <w:p w:rsidR="003415C5" w:rsidRDefault="003415C5" w:rsidP="00DD70DD">
      <w:pPr>
        <w:spacing w:after="0" w:line="240" w:lineRule="auto"/>
        <w:jc w:val="both"/>
        <w:rPr>
          <w:rFonts w:ascii="Verdana" w:hAnsi="Verdana" w:cs="Times New Roman"/>
          <w:b/>
          <w:i/>
          <w:sz w:val="19"/>
          <w:szCs w:val="18"/>
        </w:rPr>
      </w:pPr>
    </w:p>
    <w:p w:rsidR="00DD70DD" w:rsidRPr="00BE3744" w:rsidRDefault="00DD70DD" w:rsidP="00DD70DD">
      <w:pPr>
        <w:spacing w:after="0" w:line="240" w:lineRule="auto"/>
        <w:jc w:val="both"/>
        <w:rPr>
          <w:rFonts w:ascii="Verdana" w:hAnsi="Verdana" w:cs="Times New Roman"/>
          <w:b/>
          <w:i/>
          <w:sz w:val="19"/>
          <w:szCs w:val="18"/>
        </w:rPr>
      </w:pPr>
      <w:r w:rsidRPr="00BE3744">
        <w:rPr>
          <w:rFonts w:ascii="Verdana" w:hAnsi="Verdana" w:cs="Times New Roman"/>
          <w:b/>
          <w:i/>
          <w:sz w:val="19"/>
          <w:szCs w:val="18"/>
        </w:rPr>
        <w:t>Магнатское предпринимательство.</w:t>
      </w:r>
    </w:p>
    <w:p w:rsidR="00DD70DD" w:rsidRPr="00BE3744" w:rsidRDefault="00DD70DD" w:rsidP="00DD70DD">
      <w:pPr>
        <w:spacing w:after="0" w:line="240" w:lineRule="auto"/>
        <w:jc w:val="both"/>
        <w:rPr>
          <w:rFonts w:ascii="Verdana" w:hAnsi="Verdana" w:cs="Times New Roman"/>
          <w:sz w:val="19"/>
          <w:szCs w:val="18"/>
        </w:rPr>
      </w:pPr>
      <w:r w:rsidRPr="00BE3744">
        <w:rPr>
          <w:rFonts w:ascii="Verdana" w:hAnsi="Verdana" w:cs="Times New Roman"/>
          <w:sz w:val="19"/>
          <w:szCs w:val="18"/>
          <w:u w:val="single"/>
        </w:rPr>
        <w:t>Физиократы</w:t>
      </w:r>
      <w:r w:rsidRPr="00BE3744">
        <w:rPr>
          <w:rFonts w:ascii="Verdana" w:hAnsi="Verdana" w:cs="Times New Roman"/>
          <w:sz w:val="19"/>
          <w:szCs w:val="18"/>
        </w:rPr>
        <w:t xml:space="preserve"> - сторонники взглядов, основанных на том, что земля и земледелие есть основной источник богатства.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3402"/>
        <w:gridCol w:w="3911"/>
      </w:tblGrid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Представитель магнатского рода</w:t>
            </w:r>
          </w:p>
        </w:tc>
        <w:tc>
          <w:tcPr>
            <w:tcW w:w="1276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Годы</w:t>
            </w:r>
          </w:p>
        </w:tc>
        <w:tc>
          <w:tcPr>
            <w:tcW w:w="3402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Место деятельности</w:t>
            </w:r>
          </w:p>
        </w:tc>
        <w:tc>
          <w:tcPr>
            <w:tcW w:w="3911" w:type="dxa"/>
          </w:tcPr>
          <w:p w:rsidR="00DD70DD" w:rsidRPr="00BE3744" w:rsidRDefault="00DD70DD" w:rsidP="00E60543">
            <w:pPr>
              <w:jc w:val="center"/>
              <w:rPr>
                <w:rFonts w:ascii="Verdana" w:hAnsi="Verdana" w:cs="Times New Roman"/>
                <w:b/>
                <w:i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b/>
                <w:i/>
                <w:sz w:val="19"/>
                <w:szCs w:val="18"/>
              </w:rPr>
              <w:t>Характер деятельности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Иоахим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 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Хрептович</w:t>
            </w:r>
            <w:proofErr w:type="spellEnd"/>
          </w:p>
        </w:tc>
        <w:tc>
          <w:tcPr>
            <w:tcW w:w="1276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1770-е гг.</w:t>
            </w:r>
          </w:p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1780-е гг.</w:t>
            </w:r>
          </w:p>
        </w:tc>
        <w:tc>
          <w:tcPr>
            <w:tcW w:w="3402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Щорсы (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Новогрудский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 повет)</w:t>
            </w:r>
          </w:p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Вишнево (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Ошмянский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 повет)</w:t>
            </w:r>
          </w:p>
        </w:tc>
        <w:tc>
          <w:tcPr>
            <w:tcW w:w="3911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Образцовая сельскохозяйственная община, металлургические мануфактуры.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Антоний 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Тизенгауз</w:t>
            </w:r>
            <w:proofErr w:type="spellEnd"/>
          </w:p>
        </w:tc>
        <w:tc>
          <w:tcPr>
            <w:tcW w:w="1276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1760-1780-е гг.</w:t>
            </w:r>
          </w:p>
        </w:tc>
        <w:tc>
          <w:tcPr>
            <w:tcW w:w="3402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Гродно</w:t>
            </w:r>
          </w:p>
        </w:tc>
        <w:tc>
          <w:tcPr>
            <w:tcW w:w="3911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21 королевская мануфактура,  специальные профессиональные школы.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A44B8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>
              <w:rPr>
                <w:rFonts w:ascii="Verdana" w:hAnsi="Verdana" w:cs="Times New Roman"/>
                <w:sz w:val="19"/>
                <w:szCs w:val="18"/>
              </w:rPr>
              <w:t xml:space="preserve">Матей Бутримович, администратор </w:t>
            </w:r>
            <w:r w:rsidR="00DD70DD" w:rsidRPr="00BE3744">
              <w:rPr>
                <w:rFonts w:ascii="Verdana" w:hAnsi="Verdana" w:cs="Times New Roman"/>
                <w:sz w:val="19"/>
                <w:szCs w:val="18"/>
              </w:rPr>
              <w:t>Михаил</w:t>
            </w:r>
            <w:r>
              <w:rPr>
                <w:rFonts w:ascii="Verdana" w:hAnsi="Verdana" w:cs="Times New Roman"/>
                <w:sz w:val="19"/>
                <w:szCs w:val="18"/>
              </w:rPr>
              <w:t>а</w:t>
            </w:r>
            <w:r w:rsidR="00DD70DD" w:rsidRPr="00BE3744">
              <w:rPr>
                <w:rFonts w:ascii="Verdana" w:hAnsi="Verdana" w:cs="Times New Roman"/>
                <w:sz w:val="19"/>
                <w:szCs w:val="18"/>
              </w:rPr>
              <w:t xml:space="preserve"> Казимир</w:t>
            </w:r>
            <w:r>
              <w:rPr>
                <w:rFonts w:ascii="Verdana" w:hAnsi="Verdana" w:cs="Times New Roman"/>
                <w:sz w:val="19"/>
                <w:szCs w:val="18"/>
              </w:rPr>
              <w:t>а Огинского</w:t>
            </w:r>
          </w:p>
        </w:tc>
        <w:tc>
          <w:tcPr>
            <w:tcW w:w="1276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1760-1780-е гг.</w:t>
            </w:r>
          </w:p>
        </w:tc>
        <w:tc>
          <w:tcPr>
            <w:tcW w:w="3402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Слоним</w:t>
            </w:r>
          </w:p>
        </w:tc>
        <w:tc>
          <w:tcPr>
            <w:tcW w:w="3911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Огинский канал, проложил сухопутные дороги через 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полесские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 болота, ткацкие мануфактуры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Сапеги</w:t>
            </w:r>
            <w:proofErr w:type="spellEnd"/>
          </w:p>
        </w:tc>
        <w:tc>
          <w:tcPr>
            <w:tcW w:w="1276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1780-е гг.</w:t>
            </w:r>
          </w:p>
        </w:tc>
        <w:tc>
          <w:tcPr>
            <w:tcW w:w="3402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Ружаны</w:t>
            </w:r>
          </w:p>
        </w:tc>
        <w:tc>
          <w:tcPr>
            <w:tcW w:w="3911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Суконные мануфактуры</w:t>
            </w:r>
          </w:p>
        </w:tc>
      </w:tr>
      <w:tr w:rsidR="00DD70DD" w:rsidRPr="00BE3744" w:rsidTr="00E60543">
        <w:tc>
          <w:tcPr>
            <w:tcW w:w="2093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Михаил Казимир 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Радзивилл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 xml:space="preserve"> (</w:t>
            </w:r>
            <w:proofErr w:type="spellStart"/>
            <w:r w:rsidRPr="00BE3744">
              <w:rPr>
                <w:rFonts w:ascii="Verdana" w:hAnsi="Verdana" w:cs="Times New Roman"/>
                <w:sz w:val="19"/>
                <w:szCs w:val="18"/>
              </w:rPr>
              <w:t>Рыбонька</w:t>
            </w:r>
            <w:proofErr w:type="spellEnd"/>
            <w:r w:rsidRPr="00BE3744">
              <w:rPr>
                <w:rFonts w:ascii="Verdana" w:hAnsi="Verdana" w:cs="Times New Roman"/>
                <w:sz w:val="19"/>
                <w:szCs w:val="18"/>
              </w:rPr>
              <w:t>)</w:t>
            </w:r>
          </w:p>
        </w:tc>
        <w:tc>
          <w:tcPr>
            <w:tcW w:w="1276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1750-егг.</w:t>
            </w:r>
          </w:p>
        </w:tc>
        <w:tc>
          <w:tcPr>
            <w:tcW w:w="3402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Несвиж</w:t>
            </w:r>
          </w:p>
        </w:tc>
        <w:tc>
          <w:tcPr>
            <w:tcW w:w="3911" w:type="dxa"/>
          </w:tcPr>
          <w:p w:rsidR="00DD70DD" w:rsidRPr="00BE3744" w:rsidRDefault="00DD70DD" w:rsidP="00E60543">
            <w:pPr>
              <w:jc w:val="both"/>
              <w:rPr>
                <w:rFonts w:ascii="Verdana" w:hAnsi="Verdana" w:cs="Times New Roman"/>
                <w:sz w:val="19"/>
                <w:szCs w:val="18"/>
              </w:rPr>
            </w:pPr>
            <w:r w:rsidRPr="00BE3744">
              <w:rPr>
                <w:rFonts w:ascii="Verdana" w:hAnsi="Verdana" w:cs="Times New Roman"/>
                <w:sz w:val="19"/>
                <w:szCs w:val="18"/>
              </w:rPr>
              <w:t>Ковровая, суконная и шелкоткацкая мануфактуры.</w:t>
            </w:r>
          </w:p>
        </w:tc>
      </w:tr>
    </w:tbl>
    <w:p w:rsidR="00DD70DD" w:rsidRPr="00BE3744" w:rsidRDefault="00DD70DD" w:rsidP="00DD70DD">
      <w:pPr>
        <w:rPr>
          <w:rFonts w:ascii="Verdana" w:hAnsi="Verdana" w:cs="Times New Roman"/>
          <w:sz w:val="19"/>
          <w:szCs w:val="18"/>
        </w:rPr>
      </w:pPr>
    </w:p>
    <w:p w:rsidR="00DD70DD" w:rsidRPr="00DD70DD" w:rsidRDefault="00A44B8D" w:rsidP="00DD7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магнатское предпринимательство не имело массового характера, большая часть магнатов не поддержала нововведения. </w:t>
      </w:r>
      <w:bookmarkStart w:id="0" w:name="_GoBack"/>
      <w:bookmarkEnd w:id="0"/>
    </w:p>
    <w:sectPr w:rsidR="00DD70DD" w:rsidRPr="00DD70DD" w:rsidSect="00DD7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4ED5"/>
    <w:multiLevelType w:val="hybridMultilevel"/>
    <w:tmpl w:val="6EE01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6102B"/>
    <w:multiLevelType w:val="hybridMultilevel"/>
    <w:tmpl w:val="FA4607CE"/>
    <w:lvl w:ilvl="0" w:tplc="041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1B96"/>
    <w:multiLevelType w:val="hybridMultilevel"/>
    <w:tmpl w:val="DD3E4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DD"/>
    <w:rsid w:val="001C6FD5"/>
    <w:rsid w:val="003415C5"/>
    <w:rsid w:val="00A44B8D"/>
    <w:rsid w:val="00D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DD"/>
    <w:pPr>
      <w:ind w:left="720"/>
      <w:contextualSpacing/>
    </w:pPr>
  </w:style>
  <w:style w:type="table" w:styleId="a4">
    <w:name w:val="Table Grid"/>
    <w:basedOn w:val="a1"/>
    <w:uiPriority w:val="59"/>
    <w:rsid w:val="00DD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DD"/>
    <w:pPr>
      <w:ind w:left="720"/>
      <w:contextualSpacing/>
    </w:pPr>
  </w:style>
  <w:style w:type="table" w:styleId="a4">
    <w:name w:val="Table Grid"/>
    <w:basedOn w:val="a1"/>
    <w:uiPriority w:val="59"/>
    <w:rsid w:val="00DD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2013-06-05T21:58:00Z</cp:lastPrinted>
  <dcterms:created xsi:type="dcterms:W3CDTF">2013-06-05T21:36:00Z</dcterms:created>
  <dcterms:modified xsi:type="dcterms:W3CDTF">2013-06-05T21:59:00Z</dcterms:modified>
</cp:coreProperties>
</file>